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1E0CC2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Afiş ve talimatlar mevcuttur.</w:t>
            </w: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1E0CC2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girişinde mevcuttur.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4B778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Uyarı işaretleri ve afişleri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4B778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Vardır.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alanlarında 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Default="004B778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Kişi sayısı uyarı levhası,</w:t>
            </w:r>
          </w:p>
          <w:p w:rsidR="004B778B" w:rsidRPr="007D0311" w:rsidRDefault="004B778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Uyarı işaretleri</w:t>
            </w: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1D72C2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Kullanımdan kaldırılacaktır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F0079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Kapı ve pencereler açılacaktır</w:t>
            </w: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AB6FA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Vardır.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AB6FA4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Bekleme salonu yoktur.</w:t>
            </w:r>
          </w:p>
        </w:tc>
        <w:tc>
          <w:tcPr>
            <w:tcW w:w="2686" w:type="dxa"/>
          </w:tcPr>
          <w:p w:rsidR="00483916" w:rsidRPr="007D0311" w:rsidRDefault="00AB6FA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yoktur</w:t>
            </w:r>
            <w:proofErr w:type="gramEnd"/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AB6FA4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Bekleme salonu yoktur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83916" w:rsidRPr="000C70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86" w:type="dxa"/>
          </w:tcPr>
          <w:p w:rsidR="00483916" w:rsidRPr="007D0311" w:rsidRDefault="00AB6FA4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yoktur</w:t>
            </w:r>
            <w:proofErr w:type="gramEnd"/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B80FE5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Pencereler açılarak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DC66F3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Mevcuttur.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CF154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Düzenlenmiştir.El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antiseptiği mevcuttur.</w:t>
            </w: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0F6D0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Talimatı, Temizlik Takip Formu</w:t>
            </w: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0F6D0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Mevcuttur.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4D69C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Düzenlenmiştir.</w:t>
            </w: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4D69C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Talimatı, Temizlik Takip Formu</w:t>
            </w: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D69C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Düzenlenmiştir.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0D5C07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BB2D86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Okulda kantin ve yemekhane bulunmamaktadır.</w:t>
            </w:r>
          </w:p>
        </w:tc>
        <w:tc>
          <w:tcPr>
            <w:tcW w:w="2686" w:type="dxa"/>
          </w:tcPr>
          <w:p w:rsidR="00154793" w:rsidRPr="007D0311" w:rsidRDefault="00BB2D8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Yoktur.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D5C07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  <w:r w:rsidR="000D5C07">
              <w:rPr>
                <w:rFonts w:asciiTheme="minorHAnsi" w:hAnsiTheme="minorHAnsi" w:cstheme="minorHAnsi"/>
                <w:sz w:val="20"/>
                <w:szCs w:val="20"/>
              </w:rPr>
              <w:t xml:space="preserve"> mevcuttur.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016BF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CC302B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Mevcuttur.</w:t>
            </w: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CC302B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 şeklindedir</w:t>
            </w:r>
          </w:p>
        </w:tc>
      </w:tr>
      <w:tr w:rsidR="00154793" w:rsidRPr="007D0311" w:rsidTr="00A55F7E">
        <w:trPr>
          <w:trHeight w:val="690"/>
        </w:trPr>
        <w:tc>
          <w:tcPr>
            <w:tcW w:w="2547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:rsidR="00154793" w:rsidRPr="007D0311" w:rsidRDefault="00CE04F7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yoktur.</w:t>
            </w:r>
          </w:p>
        </w:tc>
        <w:tc>
          <w:tcPr>
            <w:tcW w:w="2686" w:type="dxa"/>
          </w:tcPr>
          <w:p w:rsidR="00154793" w:rsidRPr="007D0311" w:rsidRDefault="00CC302B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Bulunmamaktadır.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CE04F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Revir sağlık odası yoktur.</w:t>
            </w:r>
          </w:p>
        </w:tc>
        <w:tc>
          <w:tcPr>
            <w:tcW w:w="2686" w:type="dxa"/>
          </w:tcPr>
          <w:p w:rsidR="00154793" w:rsidRPr="007D0311" w:rsidRDefault="00CE04F7" w:rsidP="003051C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Bulunmamaktadır.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DD41B1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Düzenlenmiştir.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0F7BA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Belirli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periyotlarla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temizliğinin yapılması</w:t>
            </w:r>
          </w:p>
          <w:p w:rsidR="00541D90" w:rsidRDefault="00541D90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Tesbih, seccade kişiye özel kullanılmaktadır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541D90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Alınmıştır.</w:t>
            </w:r>
          </w:p>
        </w:tc>
      </w:tr>
      <w:tr w:rsidR="00AC2493" w:rsidRPr="007D0311" w:rsidTr="000D7DCD">
        <w:trPr>
          <w:trHeight w:val="1187"/>
        </w:trPr>
        <w:tc>
          <w:tcPr>
            <w:tcW w:w="2547" w:type="dxa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ED4433" w:rsidRPr="007D0311" w:rsidRDefault="00ED443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Spor salonu yoktur</w:t>
            </w:r>
          </w:p>
        </w:tc>
        <w:tc>
          <w:tcPr>
            <w:tcW w:w="2686" w:type="dxa"/>
          </w:tcPr>
          <w:p w:rsidR="00AC2493" w:rsidRPr="007D0311" w:rsidRDefault="00ED4433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Bulunmamaktadır.</w:t>
            </w:r>
          </w:p>
        </w:tc>
      </w:tr>
      <w:tr w:rsidR="00F613DB" w:rsidRPr="007D0311" w:rsidTr="00A55F7E">
        <w:trPr>
          <w:trHeight w:val="740"/>
        </w:trPr>
        <w:tc>
          <w:tcPr>
            <w:tcW w:w="2547" w:type="dxa"/>
          </w:tcPr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P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5245" w:type="dxa"/>
          </w:tcPr>
          <w:p w:rsidR="00F613DB" w:rsidRPr="007D0311" w:rsidRDefault="00373006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Öğrenci, Personel Soyunma Odalar ve Duşlar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yoktur</w:t>
            </w:r>
            <w:r w:rsidR="00F613DB" w:rsidRPr="005D3DD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F613DB" w:rsidRPr="007D0311" w:rsidRDefault="00373006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Bulunmamaktadır.</w:t>
            </w:r>
          </w:p>
        </w:tc>
      </w:tr>
      <w:tr w:rsidR="00F93BCC" w:rsidRPr="007D0311" w:rsidTr="000D7DCD">
        <w:trPr>
          <w:trHeight w:val="927"/>
        </w:trPr>
        <w:tc>
          <w:tcPr>
            <w:tcW w:w="2547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P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Misafirhane/Yurt/Pansiyon</w:t>
            </w:r>
          </w:p>
        </w:tc>
        <w:tc>
          <w:tcPr>
            <w:tcW w:w="5245" w:type="dxa"/>
          </w:tcPr>
          <w:p w:rsidR="00F93BCC" w:rsidRPr="0067565B" w:rsidRDefault="0067565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65B">
              <w:rPr>
                <w:rFonts w:asciiTheme="minorHAnsi" w:hAnsiTheme="minorHAnsi" w:cstheme="minorHAnsi"/>
                <w:sz w:val="20"/>
                <w:szCs w:val="20"/>
              </w:rPr>
              <w:t>Misafirhane/Yurt/Pansiyon</w:t>
            </w:r>
            <w:r w:rsidRPr="0067565B">
              <w:rPr>
                <w:rFonts w:asciiTheme="minorHAnsi" w:hAnsiTheme="minorHAnsi" w:cstheme="minorHAnsi"/>
                <w:sz w:val="20"/>
                <w:szCs w:val="20"/>
              </w:rPr>
              <w:t xml:space="preserve"> yoktur.</w:t>
            </w:r>
          </w:p>
        </w:tc>
        <w:tc>
          <w:tcPr>
            <w:tcW w:w="2686" w:type="dxa"/>
          </w:tcPr>
          <w:p w:rsidR="00F93BCC" w:rsidRDefault="0067565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Bulunmamaktadır.</w:t>
            </w:r>
          </w:p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</w:tcPr>
          <w:p w:rsidR="00F93BCC" w:rsidRP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5245" w:type="dxa"/>
          </w:tcPr>
          <w:p w:rsidR="00F93BCC" w:rsidRPr="00422E16" w:rsidRDefault="00422E16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2E16">
              <w:rPr>
                <w:rFonts w:asciiTheme="minorHAnsi" w:hAnsiTheme="minorHAnsi" w:cstheme="minorHAnsi"/>
                <w:sz w:val="20"/>
                <w:szCs w:val="20"/>
              </w:rPr>
              <w:t>Eğitim Kuruluşu Hizmet Araçları</w:t>
            </w:r>
            <w:r w:rsidRPr="00422E16">
              <w:rPr>
                <w:rFonts w:asciiTheme="minorHAnsi" w:hAnsiTheme="minorHAnsi" w:cstheme="minorHAnsi"/>
                <w:sz w:val="20"/>
                <w:szCs w:val="20"/>
              </w:rPr>
              <w:t xml:space="preserve"> yoktur.</w:t>
            </w:r>
          </w:p>
        </w:tc>
        <w:tc>
          <w:tcPr>
            <w:tcW w:w="2686" w:type="dxa"/>
          </w:tcPr>
          <w:p w:rsidR="00422E16" w:rsidRDefault="00422E16" w:rsidP="00422E1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Bulunmamaktadır.</w:t>
            </w:r>
          </w:p>
          <w:p w:rsidR="00F93BCC" w:rsidRPr="007D0311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891"/>
        </w:trPr>
        <w:tc>
          <w:tcPr>
            <w:tcW w:w="2547" w:type="dxa"/>
          </w:tcPr>
          <w:p w:rsidR="00A55F7E" w:rsidRP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Çamaşırhane Hizmetleri</w:t>
            </w:r>
          </w:p>
        </w:tc>
        <w:tc>
          <w:tcPr>
            <w:tcW w:w="5245" w:type="dxa"/>
          </w:tcPr>
          <w:p w:rsidR="00A55F7E" w:rsidRPr="00405596" w:rsidRDefault="00BF5661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Çamaşırhane yoktur</w:t>
            </w:r>
            <w:r w:rsidR="00A55F7E" w:rsidRPr="004055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BF5661" w:rsidRDefault="00BF5661" w:rsidP="00BF566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Bulunmamaktadır.</w:t>
            </w:r>
          </w:p>
          <w:p w:rsidR="00A55F7E" w:rsidRPr="007D0311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1237"/>
        </w:trPr>
        <w:tc>
          <w:tcPr>
            <w:tcW w:w="2547" w:type="dxa"/>
          </w:tcPr>
          <w:p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:rsidR="00A55F7E" w:rsidRPr="007D0311" w:rsidRDefault="00EC0FE1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servis aracı yoktur</w:t>
            </w:r>
          </w:p>
        </w:tc>
        <w:tc>
          <w:tcPr>
            <w:tcW w:w="2686" w:type="dxa"/>
          </w:tcPr>
          <w:p w:rsidR="00EC0FE1" w:rsidRDefault="00EC0FE1" w:rsidP="00EC0FE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Bulunmamaktadır.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935CC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Ziyaretçi ve Tedarikçi Taahhütnamesi</w:t>
            </w:r>
          </w:p>
        </w:tc>
      </w:tr>
      <w:tr w:rsidR="00F30732" w:rsidRPr="007D0311" w:rsidTr="00FF4AD6">
        <w:trPr>
          <w:trHeight w:val="987"/>
        </w:trPr>
        <w:tc>
          <w:tcPr>
            <w:tcW w:w="2547" w:type="dxa"/>
          </w:tcPr>
          <w:p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:rsidR="00F30732" w:rsidRPr="00935CCE" w:rsidRDefault="00935CC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35CCE">
              <w:rPr>
                <w:rFonts w:asciiTheme="minorHAnsi" w:hAnsiTheme="minorHAnsi" w:cstheme="minorHAnsi"/>
                <w:sz w:val="20"/>
                <w:szCs w:val="20"/>
              </w:rPr>
              <w:t>Su Depoları</w:t>
            </w:r>
            <w:r w:rsidRPr="00935CCE">
              <w:rPr>
                <w:rFonts w:asciiTheme="minorHAnsi" w:hAnsiTheme="minorHAnsi" w:cstheme="minorHAnsi"/>
                <w:sz w:val="20"/>
                <w:szCs w:val="20"/>
              </w:rPr>
              <w:t xml:space="preserve"> yoktur.</w:t>
            </w:r>
          </w:p>
        </w:tc>
        <w:tc>
          <w:tcPr>
            <w:tcW w:w="2686" w:type="dxa"/>
          </w:tcPr>
          <w:p w:rsidR="00935CCE" w:rsidRDefault="00935CCE" w:rsidP="00935CC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Bulunmamaktadır.</w:t>
            </w:r>
          </w:p>
          <w:p w:rsidR="00F30732" w:rsidRPr="00350B44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B753F4" w:rsidRPr="00FF4AD6" w:rsidRDefault="00522981" w:rsidP="00E61130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bookmarkStart w:id="0" w:name="_GoBack"/>
      <w:bookmarkEnd w:id="0"/>
      <w:r w:rsidR="00FD3DA9" w:rsidRPr="00FF4AD6">
        <w:rPr>
          <w:b/>
        </w:rPr>
        <w:t>bölümler formdan</w:t>
      </w:r>
      <w:r w:rsidR="0054162C" w:rsidRPr="00FF4AD6">
        <w:rPr>
          <w:b/>
        </w:rPr>
        <w:t xml:space="preserve"> çıkartılacaktır.</w:t>
      </w:r>
    </w:p>
    <w:p w:rsidR="00FF4AD6" w:rsidRDefault="00FF4AD6" w:rsidP="00E61130"/>
    <w:p w:rsidR="00FD3DA9" w:rsidRDefault="00FD3DA9" w:rsidP="00FD3DA9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FD3DA9" w:rsidRDefault="00FD3DA9" w:rsidP="00FD3DA9">
      <w:r>
        <w:t>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İbrahim DEMİRKAN</w:t>
      </w:r>
    </w:p>
    <w:p w:rsidR="00FD3DA9" w:rsidRDefault="00FD3DA9" w:rsidP="00FD3DA9">
      <w:r>
        <w:t>Ali YURTSEVER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B51147" w:rsidRPr="00E61130" w:rsidRDefault="00B51147" w:rsidP="00FD3DA9"/>
    <w:sectPr w:rsidR="00B51147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C0" w:rsidRDefault="001474C0" w:rsidP="00CD4279">
      <w:pPr>
        <w:spacing w:after="0" w:line="240" w:lineRule="auto"/>
      </w:pPr>
      <w:r>
        <w:separator/>
      </w:r>
    </w:p>
  </w:endnote>
  <w:endnote w:type="continuationSeparator" w:id="0">
    <w:p w:rsidR="001474C0" w:rsidRDefault="001474C0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0C" w:rsidRDefault="00B867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0C" w:rsidRDefault="00B867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C0" w:rsidRDefault="001474C0" w:rsidP="00CD4279">
      <w:pPr>
        <w:spacing w:after="0" w:line="240" w:lineRule="auto"/>
      </w:pPr>
      <w:r>
        <w:separator/>
      </w:r>
    </w:p>
  </w:footnote>
  <w:footnote w:type="continuationSeparator" w:id="0">
    <w:p w:rsidR="001474C0" w:rsidRDefault="001474C0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0C" w:rsidRDefault="00B867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7730"/>
      <w:gridCol w:w="1276"/>
    </w:tblGrid>
    <w:tr w:rsidR="008068D6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670C" w:rsidRDefault="00B8670C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ERDAL ABACI İLKOKULU </w:t>
          </w:r>
        </w:p>
        <w:p w:rsidR="008068D6" w:rsidRPr="00A50351" w:rsidRDefault="008068D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B8670C" w:rsidP="00397884">
          <w:pPr>
            <w:jc w:val="center"/>
          </w:pPr>
          <w:r w:rsidRPr="00CC6765">
            <w:object w:dxaOrig="4246" w:dyaOrig="4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75pt;height:56.75pt" o:ole="">
                <v:imagedata r:id="rId2" o:title=""/>
              </v:shape>
              <o:OLEObject Type="Embed" ProgID="Acrobat.Document.DC" ShapeID="_x0000_i1025" DrawAspect="Content" ObjectID="_1753612098" r:id="rId3"/>
            </w:object>
          </w: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0C" w:rsidRDefault="00B867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16BF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5C07"/>
    <w:rsid w:val="000D7DCD"/>
    <w:rsid w:val="000F6D08"/>
    <w:rsid w:val="000F7BA3"/>
    <w:rsid w:val="001474C0"/>
    <w:rsid w:val="00153644"/>
    <w:rsid w:val="00154793"/>
    <w:rsid w:val="00163BF8"/>
    <w:rsid w:val="0017664A"/>
    <w:rsid w:val="00186CD9"/>
    <w:rsid w:val="001B1A7C"/>
    <w:rsid w:val="001B23B8"/>
    <w:rsid w:val="001D72C2"/>
    <w:rsid w:val="001E0CC2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73006"/>
    <w:rsid w:val="003C5941"/>
    <w:rsid w:val="003E1130"/>
    <w:rsid w:val="003F5B5D"/>
    <w:rsid w:val="004028F0"/>
    <w:rsid w:val="00405596"/>
    <w:rsid w:val="00422E16"/>
    <w:rsid w:val="0042310D"/>
    <w:rsid w:val="00443434"/>
    <w:rsid w:val="00445B18"/>
    <w:rsid w:val="00446ACA"/>
    <w:rsid w:val="004766A2"/>
    <w:rsid w:val="00483916"/>
    <w:rsid w:val="004953AA"/>
    <w:rsid w:val="004B778B"/>
    <w:rsid w:val="004D69C5"/>
    <w:rsid w:val="004D771F"/>
    <w:rsid w:val="004F31E2"/>
    <w:rsid w:val="00522981"/>
    <w:rsid w:val="00532F04"/>
    <w:rsid w:val="0054162C"/>
    <w:rsid w:val="00541D90"/>
    <w:rsid w:val="0054271E"/>
    <w:rsid w:val="005442F0"/>
    <w:rsid w:val="00557274"/>
    <w:rsid w:val="005630AF"/>
    <w:rsid w:val="005821DD"/>
    <w:rsid w:val="00597112"/>
    <w:rsid w:val="005D3DD2"/>
    <w:rsid w:val="00631C78"/>
    <w:rsid w:val="00663C45"/>
    <w:rsid w:val="00671E15"/>
    <w:rsid w:val="006750C7"/>
    <w:rsid w:val="0067565B"/>
    <w:rsid w:val="0069539E"/>
    <w:rsid w:val="006A2A5B"/>
    <w:rsid w:val="006A2D9A"/>
    <w:rsid w:val="006B7DBF"/>
    <w:rsid w:val="00701471"/>
    <w:rsid w:val="00715E87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F52C4"/>
    <w:rsid w:val="008F59BF"/>
    <w:rsid w:val="00935CCE"/>
    <w:rsid w:val="00937D59"/>
    <w:rsid w:val="009547CB"/>
    <w:rsid w:val="009B4BF0"/>
    <w:rsid w:val="009C6204"/>
    <w:rsid w:val="009F2E91"/>
    <w:rsid w:val="00A16398"/>
    <w:rsid w:val="00A3550D"/>
    <w:rsid w:val="00A36A95"/>
    <w:rsid w:val="00A4674A"/>
    <w:rsid w:val="00A500E8"/>
    <w:rsid w:val="00A55F7E"/>
    <w:rsid w:val="00A67B99"/>
    <w:rsid w:val="00A74E2B"/>
    <w:rsid w:val="00A86042"/>
    <w:rsid w:val="00AA1AA6"/>
    <w:rsid w:val="00AA74F3"/>
    <w:rsid w:val="00AB2F15"/>
    <w:rsid w:val="00AB6FA4"/>
    <w:rsid w:val="00AC2493"/>
    <w:rsid w:val="00AE00F8"/>
    <w:rsid w:val="00AF4658"/>
    <w:rsid w:val="00B00461"/>
    <w:rsid w:val="00B34F17"/>
    <w:rsid w:val="00B51147"/>
    <w:rsid w:val="00B7039F"/>
    <w:rsid w:val="00B753F4"/>
    <w:rsid w:val="00B80FE5"/>
    <w:rsid w:val="00B8670C"/>
    <w:rsid w:val="00B92780"/>
    <w:rsid w:val="00BA1843"/>
    <w:rsid w:val="00BB2D86"/>
    <w:rsid w:val="00BE1B50"/>
    <w:rsid w:val="00BF5661"/>
    <w:rsid w:val="00C013D9"/>
    <w:rsid w:val="00C143ED"/>
    <w:rsid w:val="00C27125"/>
    <w:rsid w:val="00C455A8"/>
    <w:rsid w:val="00C63749"/>
    <w:rsid w:val="00CB7313"/>
    <w:rsid w:val="00CC302B"/>
    <w:rsid w:val="00CD0913"/>
    <w:rsid w:val="00CD31CE"/>
    <w:rsid w:val="00CD4279"/>
    <w:rsid w:val="00CE04F7"/>
    <w:rsid w:val="00CE1372"/>
    <w:rsid w:val="00CF0DD2"/>
    <w:rsid w:val="00CF154D"/>
    <w:rsid w:val="00CF6E8E"/>
    <w:rsid w:val="00D01388"/>
    <w:rsid w:val="00D043A8"/>
    <w:rsid w:val="00D10D59"/>
    <w:rsid w:val="00D173D5"/>
    <w:rsid w:val="00D22DFB"/>
    <w:rsid w:val="00D26703"/>
    <w:rsid w:val="00D33013"/>
    <w:rsid w:val="00D82252"/>
    <w:rsid w:val="00D910B0"/>
    <w:rsid w:val="00D93A3E"/>
    <w:rsid w:val="00DA7F11"/>
    <w:rsid w:val="00DC66F3"/>
    <w:rsid w:val="00DC7B71"/>
    <w:rsid w:val="00DD41B1"/>
    <w:rsid w:val="00E0202B"/>
    <w:rsid w:val="00E2205F"/>
    <w:rsid w:val="00E61130"/>
    <w:rsid w:val="00E6257E"/>
    <w:rsid w:val="00E70A9E"/>
    <w:rsid w:val="00E828BC"/>
    <w:rsid w:val="00EC0FE1"/>
    <w:rsid w:val="00ED4433"/>
    <w:rsid w:val="00EF3127"/>
    <w:rsid w:val="00F0079B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D3DA9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087B4-F1C6-40E3-BB83-E1B1B75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Microsoft hesabı</cp:lastModifiedBy>
  <cp:revision>50</cp:revision>
  <cp:lastPrinted>2021-06-17T09:32:00Z</cp:lastPrinted>
  <dcterms:created xsi:type="dcterms:W3CDTF">2023-08-15T10:25:00Z</dcterms:created>
  <dcterms:modified xsi:type="dcterms:W3CDTF">2023-08-15T10:41:00Z</dcterms:modified>
</cp:coreProperties>
</file>